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line="360" w:lineRule="auto"/>
        <w:rPr>
          <w:rStyle w:val="6"/>
          <w:rFonts w:ascii="仿宋_GB2312" w:hAnsi="仿宋_GB2312" w:eastAsia="仿宋_GB2312" w:cs="仿宋_GB2312"/>
          <w:color w:val="auto"/>
          <w:kern w:val="0"/>
          <w:sz w:val="27"/>
          <w:szCs w:val="27"/>
          <w:lang w:eastAsia="zh-CN"/>
        </w:rPr>
      </w:pPr>
      <w:r>
        <w:rPr>
          <w:rStyle w:val="6"/>
          <w:rFonts w:ascii="仿宋_GB2312" w:hAnsi="仿宋_GB2312" w:eastAsia="仿宋_GB2312" w:cs="仿宋_GB2312"/>
          <w:color w:val="auto"/>
          <w:kern w:val="0"/>
          <w:sz w:val="27"/>
          <w:szCs w:val="27"/>
        </w:rPr>
        <w:t>附件1：</w:t>
      </w:r>
    </w:p>
    <w:p>
      <w:pPr>
        <w:pStyle w:val="10"/>
        <w:spacing w:line="360" w:lineRule="auto"/>
        <w:jc w:val="center"/>
        <w:rPr>
          <w:rFonts w:ascii="宋体" w:hAnsi="宋体" w:eastAsia="宋体" w:cs="宋体"/>
          <w:b/>
          <w:bCs/>
          <w:color w:val="auto"/>
          <w:sz w:val="32"/>
          <w:szCs w:val="20"/>
        </w:rPr>
      </w:pPr>
      <w:r>
        <w:rPr>
          <w:rStyle w:val="6"/>
          <w:rFonts w:ascii="宋体" w:hAnsi="宋体" w:eastAsia="宋体" w:cs="宋体"/>
          <w:b/>
          <w:bCs/>
          <w:color w:val="auto"/>
          <w:kern w:val="0"/>
          <w:sz w:val="27"/>
          <w:szCs w:val="27"/>
        </w:rPr>
        <w:t>衢州学院大学生证券投资竞赛报名表（团队赛）</w:t>
      </w:r>
    </w:p>
    <w:tbl>
      <w:tblPr>
        <w:tblStyle w:val="7"/>
        <w:tblW w:w="847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23"/>
        <w:gridCol w:w="817"/>
        <w:gridCol w:w="1269"/>
        <w:gridCol w:w="711"/>
        <w:gridCol w:w="990"/>
        <w:gridCol w:w="567"/>
        <w:gridCol w:w="709"/>
        <w:gridCol w:w="1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88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黑体" w:eastAsia="黑体"/>
                <w:szCs w:val="20"/>
              </w:rPr>
            </w:pPr>
            <w:r>
              <w:rPr>
                <w:rFonts w:hint="eastAsia" w:ascii="黑体" w:eastAsia="黑体"/>
                <w:szCs w:val="20"/>
                <w:lang w:eastAsia="zh-CN"/>
              </w:rPr>
              <w:t>比赛类别</w:t>
            </w:r>
          </w:p>
        </w:tc>
        <w:tc>
          <w:tcPr>
            <w:tcW w:w="6591" w:type="dxa"/>
            <w:gridSpan w:val="7"/>
            <w:vAlign w:val="center"/>
          </w:tcPr>
          <w:p>
            <w:pPr>
              <w:spacing w:line="360" w:lineRule="auto"/>
              <w:rPr>
                <w:rFonts w:hint="eastAsia"/>
                <w:szCs w:val="20"/>
                <w:lang w:eastAsia="zh-CN"/>
              </w:rPr>
            </w:pPr>
            <w:r>
              <w:rPr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2014220</wp:posOffset>
                      </wp:positionH>
                      <wp:positionV relativeFrom="paragraph">
                        <wp:posOffset>21590</wp:posOffset>
                      </wp:positionV>
                      <wp:extent cx="133350" cy="133350"/>
                      <wp:effectExtent l="11430" t="9525" r="17145" b="952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58.6pt;margin-top:1.7pt;height:10.5pt;width:10.5pt;z-index:251660288;mso-width-relative:page;mso-height-relative:page;" filled="f" stroked="t" coordsize="21600,21600" o:gfxdata="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mLr9Q1wAAAAgBAAAPAAAAAAAAAAEAIAAA&#10;ACIAAABkcnMvZG93bnJldi54bWxQSwECFAAUAAAACACHTuJAlndtIg0CAAD4AwAADgAAAAAAAAAB&#10;ACAAAAAmAQAAZHJzL2Uyb0RvYy54bWxQSwUGAAAAAAYABgBZAQAApQUAAAAA&#10;">
                      <v:fill on="f" focussize="0,0"/>
                      <v:stroke weight="1.25pt" color="#000000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461645</wp:posOffset>
                      </wp:positionH>
                      <wp:positionV relativeFrom="paragraph">
                        <wp:posOffset>59690</wp:posOffset>
                      </wp:positionV>
                      <wp:extent cx="133350" cy="133350"/>
                      <wp:effectExtent l="11430" t="9525" r="17145" b="952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6.35pt;margin-top:4.7pt;height:10.5pt;width:10.5pt;z-index:251659264;mso-width-relative:page;mso-height-relative:page;" filled="f" stroked="t" coordsize="21600,21600" o:gfxdata="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0EJS/9UAAAAGAQAADwAAAAAAAAABACAAAAAi&#10;AAAAZHJzL2Rvd25yZXYueG1sUEsBAhQAFAAAAAgAh07iQJGOKXsNAgAA+AMAAA4AAAAAAAAAAQAg&#10;AAAAJAEAAGRycy9lMm9Eb2MueG1sUEsFBgAAAAAGAAYAWQEAAKMFAAAAAA==&#10;">
                      <v:fill on="f" focussize="0,0"/>
                      <v:stroke weight="1.25pt" color="#000000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  <w:szCs w:val="20"/>
                <w:lang w:eastAsia="zh-CN"/>
              </w:rPr>
              <w:t xml:space="preserve">          量化交易组          投资策略组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126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eastAsia="黑体"/>
                <w:szCs w:val="20"/>
                <w:lang w:eastAsia="zh-CN"/>
              </w:rPr>
            </w:pPr>
            <w:r>
              <w:rPr>
                <w:rFonts w:hint="eastAsia" w:ascii="黑体" w:eastAsia="黑体"/>
                <w:szCs w:val="20"/>
                <w:lang w:eastAsia="zh-CN"/>
              </w:rPr>
              <w:t>团队成员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  <w:lang w:eastAsia="zh-CN"/>
              </w:rPr>
            </w:pPr>
            <w:r>
              <w:rPr>
                <w:rFonts w:hint="eastAsia"/>
                <w:szCs w:val="20"/>
                <w:lang w:eastAsia="zh-CN"/>
              </w:rPr>
              <w:t>领队</w:t>
            </w:r>
          </w:p>
        </w:tc>
        <w:tc>
          <w:tcPr>
            <w:tcW w:w="1269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学号</w:t>
            </w:r>
          </w:p>
        </w:tc>
        <w:tc>
          <w:tcPr>
            <w:tcW w:w="155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专业</w:t>
            </w:r>
          </w:p>
        </w:tc>
        <w:tc>
          <w:tcPr>
            <w:tcW w:w="1528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26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eastAsia="黑体"/>
                <w:szCs w:val="20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  <w:lang w:eastAsia="zh-CN"/>
              </w:rPr>
            </w:pPr>
            <w:r>
              <w:rPr>
                <w:rFonts w:hint="eastAsia"/>
                <w:szCs w:val="20"/>
                <w:lang w:eastAsia="zh-CN"/>
              </w:rPr>
              <w:t>成员1</w:t>
            </w:r>
          </w:p>
        </w:tc>
        <w:tc>
          <w:tcPr>
            <w:tcW w:w="1269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学号</w:t>
            </w:r>
          </w:p>
        </w:tc>
        <w:tc>
          <w:tcPr>
            <w:tcW w:w="155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专业</w:t>
            </w:r>
          </w:p>
        </w:tc>
        <w:tc>
          <w:tcPr>
            <w:tcW w:w="1528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26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eastAsia="黑体"/>
                <w:szCs w:val="20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  <w:lang w:eastAsia="zh-CN"/>
              </w:rPr>
            </w:pPr>
            <w:r>
              <w:rPr>
                <w:rFonts w:hint="eastAsia"/>
                <w:szCs w:val="20"/>
                <w:lang w:eastAsia="zh-CN"/>
              </w:rPr>
              <w:t>成员2</w:t>
            </w:r>
          </w:p>
        </w:tc>
        <w:tc>
          <w:tcPr>
            <w:tcW w:w="1269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学号</w:t>
            </w:r>
          </w:p>
        </w:tc>
        <w:tc>
          <w:tcPr>
            <w:tcW w:w="155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专业</w:t>
            </w:r>
          </w:p>
        </w:tc>
        <w:tc>
          <w:tcPr>
            <w:tcW w:w="1528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26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eastAsia="黑体"/>
                <w:szCs w:val="20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  <w:lang w:eastAsia="zh-CN"/>
              </w:rPr>
            </w:pPr>
            <w:r>
              <w:rPr>
                <w:rFonts w:hint="eastAsia"/>
                <w:szCs w:val="20"/>
                <w:lang w:eastAsia="zh-CN"/>
              </w:rPr>
              <w:t>成员3</w:t>
            </w:r>
          </w:p>
        </w:tc>
        <w:tc>
          <w:tcPr>
            <w:tcW w:w="1269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学号</w:t>
            </w:r>
          </w:p>
        </w:tc>
        <w:tc>
          <w:tcPr>
            <w:tcW w:w="155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专业</w:t>
            </w:r>
          </w:p>
        </w:tc>
        <w:tc>
          <w:tcPr>
            <w:tcW w:w="1528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26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eastAsia="黑体"/>
                <w:szCs w:val="20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  <w:lang w:eastAsia="zh-CN"/>
              </w:rPr>
            </w:pPr>
            <w:r>
              <w:rPr>
                <w:rFonts w:hint="eastAsia"/>
                <w:szCs w:val="20"/>
                <w:lang w:eastAsia="zh-CN"/>
              </w:rPr>
              <w:t>成员4</w:t>
            </w:r>
          </w:p>
        </w:tc>
        <w:tc>
          <w:tcPr>
            <w:tcW w:w="1269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学号</w:t>
            </w:r>
          </w:p>
        </w:tc>
        <w:tc>
          <w:tcPr>
            <w:tcW w:w="155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专业</w:t>
            </w:r>
          </w:p>
        </w:tc>
        <w:tc>
          <w:tcPr>
            <w:tcW w:w="1528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188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黑体" w:eastAsia="黑体"/>
                <w:szCs w:val="20"/>
              </w:rPr>
            </w:pPr>
            <w:r>
              <w:rPr>
                <w:rFonts w:hint="eastAsia" w:ascii="黑体" w:eastAsia="黑体"/>
                <w:szCs w:val="20"/>
              </w:rPr>
              <w:t>所属学院</w:t>
            </w:r>
          </w:p>
        </w:tc>
        <w:tc>
          <w:tcPr>
            <w:tcW w:w="208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黑体" w:eastAsia="黑体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黑体" w:eastAsia="黑体"/>
                <w:szCs w:val="20"/>
              </w:rPr>
            </w:pPr>
            <w:r>
              <w:rPr>
                <w:rFonts w:hint="eastAsia" w:ascii="黑体" w:eastAsia="黑体"/>
                <w:szCs w:val="20"/>
              </w:rPr>
              <w:t>指导教师</w:t>
            </w:r>
          </w:p>
        </w:tc>
        <w:tc>
          <w:tcPr>
            <w:tcW w:w="280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88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黑体" w:eastAsia="黑体"/>
                <w:szCs w:val="20"/>
              </w:rPr>
            </w:pPr>
            <w:r>
              <w:rPr>
                <w:rFonts w:hint="eastAsia" w:ascii="黑体" w:eastAsia="黑体"/>
                <w:szCs w:val="20"/>
              </w:rPr>
              <w:t>指导教师电话</w:t>
            </w:r>
          </w:p>
        </w:tc>
        <w:tc>
          <w:tcPr>
            <w:tcW w:w="208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黑体" w:eastAsia="黑体"/>
                <w:szCs w:val="20"/>
              </w:rPr>
            </w:pPr>
            <w:r>
              <w:rPr>
                <w:rFonts w:hint="eastAsia" w:ascii="黑体" w:eastAsia="黑体"/>
                <w:szCs w:val="20"/>
              </w:rPr>
              <w:t>其他联系方式</w:t>
            </w:r>
          </w:p>
          <w:p>
            <w:pPr>
              <w:spacing w:line="360" w:lineRule="auto"/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（如E-mail）</w:t>
            </w:r>
          </w:p>
        </w:tc>
        <w:tc>
          <w:tcPr>
            <w:tcW w:w="2804" w:type="dxa"/>
            <w:gridSpan w:val="3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8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黑体" w:eastAsia="黑体"/>
                <w:szCs w:val="20"/>
              </w:rPr>
            </w:pPr>
            <w:r>
              <w:rPr>
                <w:rFonts w:hint="eastAsia" w:ascii="黑体" w:eastAsia="黑体"/>
                <w:szCs w:val="20"/>
                <w:lang w:eastAsia="zh-CN"/>
              </w:rPr>
              <w:t>负责人</w:t>
            </w:r>
            <w:r>
              <w:rPr>
                <w:rFonts w:hint="eastAsia" w:ascii="黑体" w:eastAsia="黑体"/>
                <w:szCs w:val="20"/>
              </w:rPr>
              <w:t>电话</w:t>
            </w:r>
          </w:p>
        </w:tc>
        <w:tc>
          <w:tcPr>
            <w:tcW w:w="20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黑体" w:eastAsia="黑体"/>
                <w:szCs w:val="20"/>
              </w:rPr>
            </w:pPr>
          </w:p>
        </w:tc>
        <w:tc>
          <w:tcPr>
            <w:tcW w:w="2804" w:type="dxa"/>
            <w:gridSpan w:val="3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0"/>
              </w:rPr>
            </w:pPr>
          </w:p>
        </w:tc>
      </w:tr>
    </w:tbl>
    <w:p>
      <w:pPr>
        <w:pStyle w:val="2"/>
        <w:spacing w:line="364" w:lineRule="auto"/>
        <w:ind w:right="240" w:firstLine="480"/>
        <w:jc w:val="both"/>
      </w:pPr>
      <w:r>
        <w:rPr>
          <w:rFonts w:hint="eastAsia"/>
          <w:spacing w:val="-10"/>
          <w:lang w:val="en-US" w:eastAsia="zh-CN"/>
        </w:rPr>
        <w:t>备注</w:t>
      </w:r>
      <w:r>
        <w:rPr>
          <w:rStyle w:val="6"/>
          <w:rFonts w:hint="eastAsia" w:ascii="仿宋_GB2312" w:hAnsi="仿宋_GB2312" w:eastAsia="仿宋_GB2312" w:cs="仿宋_GB2312"/>
          <w:color w:val="auto"/>
          <w:kern w:val="0"/>
          <w:sz w:val="27"/>
          <w:szCs w:val="27"/>
          <w:lang w:val="en-US" w:eastAsia="zh-CN"/>
        </w:rPr>
        <w:t>：</w:t>
      </w:r>
      <w:r>
        <w:rPr>
          <w:spacing w:val="-10"/>
        </w:rPr>
        <w:t>投资策略组分本科组和高职组</w:t>
      </w:r>
      <w:r>
        <w:rPr>
          <w:rFonts w:hint="eastAsia"/>
          <w:spacing w:val="-10"/>
          <w:lang w:eastAsia="zh-CN"/>
        </w:rPr>
        <w:t>参赛</w:t>
      </w:r>
      <w:r>
        <w:rPr>
          <w:spacing w:val="-10"/>
        </w:rPr>
        <w:t>，量化交易组</w:t>
      </w:r>
      <w:r>
        <w:rPr>
          <w:rFonts w:hint="eastAsia"/>
          <w:spacing w:val="-10"/>
          <w:lang w:val="en-US" w:eastAsia="zh-CN"/>
        </w:rPr>
        <w:t>和市场交易组</w:t>
      </w:r>
      <w:r>
        <w:rPr>
          <w:spacing w:val="-10"/>
        </w:rPr>
        <w:t>不分本科组和高</w:t>
      </w:r>
      <w:r>
        <w:t>职组。</w:t>
      </w:r>
      <w:bookmarkStart w:id="0" w:name="_GoBack"/>
      <w:bookmarkEnd w:id="0"/>
    </w:p>
    <w:p>
      <w:pPr>
        <w:pStyle w:val="10"/>
        <w:spacing w:line="360" w:lineRule="auto"/>
        <w:ind w:firstLine="505"/>
        <w:rPr>
          <w:rStyle w:val="6"/>
          <w:rFonts w:hint="eastAsia" w:ascii="仿宋_GB2312" w:hAnsi="仿宋_GB2312" w:eastAsia="仿宋_GB2312" w:cs="仿宋_GB2312"/>
          <w:color w:val="auto"/>
          <w:kern w:val="0"/>
          <w:sz w:val="27"/>
          <w:szCs w:val="27"/>
          <w:lang w:val="en-US" w:eastAsia="zh-CN"/>
        </w:rPr>
      </w:pPr>
    </w:p>
    <w:p>
      <w:pPr>
        <w:pStyle w:val="10"/>
        <w:spacing w:line="360" w:lineRule="auto"/>
        <w:ind w:firstLine="505"/>
        <w:rPr>
          <w:rStyle w:val="6"/>
          <w:rFonts w:ascii="仿宋_GB2312" w:hAnsi="仿宋_GB2312" w:eastAsia="仿宋_GB2312" w:cs="仿宋_GB2312"/>
          <w:color w:val="auto"/>
          <w:kern w:val="0"/>
          <w:sz w:val="27"/>
          <w:szCs w:val="27"/>
        </w:rPr>
      </w:pPr>
    </w:p>
    <w:p>
      <w:pPr>
        <w:pStyle w:val="10"/>
        <w:spacing w:line="360" w:lineRule="auto"/>
        <w:ind w:firstLine="505"/>
        <w:rPr>
          <w:rStyle w:val="6"/>
          <w:rFonts w:ascii="仿宋_GB2312" w:hAnsi="仿宋_GB2312" w:eastAsia="仿宋_GB2312" w:cs="仿宋_GB2312"/>
          <w:color w:val="auto"/>
          <w:kern w:val="0"/>
          <w:sz w:val="27"/>
          <w:szCs w:val="27"/>
        </w:rPr>
      </w:pPr>
    </w:p>
    <w:p>
      <w:pPr>
        <w:pStyle w:val="10"/>
        <w:spacing w:line="360" w:lineRule="auto"/>
        <w:ind w:firstLine="505"/>
        <w:rPr>
          <w:rStyle w:val="6"/>
          <w:rFonts w:ascii="仿宋_GB2312" w:hAnsi="仿宋_GB2312" w:eastAsia="仿宋_GB2312" w:cs="仿宋_GB2312"/>
          <w:color w:val="auto"/>
          <w:kern w:val="0"/>
          <w:sz w:val="27"/>
          <w:szCs w:val="27"/>
        </w:rPr>
      </w:pPr>
    </w:p>
    <w:p>
      <w:pPr>
        <w:pStyle w:val="10"/>
        <w:spacing w:line="360" w:lineRule="auto"/>
        <w:ind w:firstLine="505"/>
        <w:rPr>
          <w:rStyle w:val="6"/>
          <w:rFonts w:ascii="仿宋_GB2312" w:hAnsi="仿宋_GB2312" w:eastAsia="仿宋_GB2312" w:cs="仿宋_GB2312"/>
          <w:color w:val="auto"/>
          <w:kern w:val="0"/>
          <w:sz w:val="27"/>
          <w:szCs w:val="27"/>
        </w:rPr>
      </w:pPr>
    </w:p>
    <w:p>
      <w:pPr>
        <w:pStyle w:val="10"/>
        <w:spacing w:line="360" w:lineRule="auto"/>
        <w:ind w:firstLine="505"/>
        <w:rPr>
          <w:rStyle w:val="6"/>
          <w:rFonts w:ascii="仿宋_GB2312" w:hAnsi="仿宋_GB2312" w:eastAsia="仿宋_GB2312" w:cs="仿宋_GB2312"/>
          <w:color w:val="auto"/>
          <w:kern w:val="0"/>
          <w:sz w:val="27"/>
          <w:szCs w:val="27"/>
        </w:rPr>
      </w:pPr>
    </w:p>
    <w:p>
      <w:pPr>
        <w:pStyle w:val="10"/>
        <w:spacing w:line="360" w:lineRule="auto"/>
        <w:ind w:firstLine="505"/>
        <w:rPr>
          <w:rStyle w:val="6"/>
          <w:rFonts w:ascii="仿宋_GB2312" w:hAnsi="仿宋_GB2312" w:eastAsia="仿宋_GB2312" w:cs="仿宋_GB2312"/>
          <w:color w:val="auto"/>
          <w:kern w:val="0"/>
          <w:sz w:val="27"/>
          <w:szCs w:val="27"/>
        </w:rPr>
      </w:pPr>
    </w:p>
    <w:p>
      <w:pPr>
        <w:pStyle w:val="10"/>
        <w:spacing w:line="360" w:lineRule="auto"/>
        <w:ind w:firstLine="505"/>
        <w:rPr>
          <w:rStyle w:val="6"/>
          <w:rFonts w:ascii="仿宋_GB2312" w:hAnsi="仿宋_GB2312" w:eastAsia="仿宋_GB2312" w:cs="仿宋_GB2312"/>
          <w:color w:val="auto"/>
          <w:kern w:val="0"/>
          <w:sz w:val="27"/>
          <w:szCs w:val="27"/>
        </w:rPr>
      </w:pPr>
    </w:p>
    <w:p>
      <w:pPr>
        <w:pStyle w:val="10"/>
        <w:spacing w:line="360" w:lineRule="auto"/>
        <w:ind w:firstLine="505"/>
        <w:rPr>
          <w:rStyle w:val="6"/>
          <w:rFonts w:ascii="仿宋_GB2312" w:hAnsi="仿宋_GB2312" w:eastAsia="仿宋_GB2312" w:cs="仿宋_GB2312"/>
          <w:color w:val="auto"/>
          <w:kern w:val="0"/>
          <w:sz w:val="27"/>
          <w:szCs w:val="27"/>
        </w:rPr>
      </w:pPr>
    </w:p>
    <w:p>
      <w:pPr>
        <w:pStyle w:val="10"/>
        <w:spacing w:line="360" w:lineRule="auto"/>
        <w:ind w:firstLine="505"/>
        <w:rPr>
          <w:rStyle w:val="6"/>
          <w:rFonts w:ascii="仿宋_GB2312" w:hAnsi="仿宋_GB2312" w:eastAsia="仿宋_GB2312" w:cs="仿宋_GB2312"/>
          <w:color w:val="auto"/>
          <w:kern w:val="0"/>
          <w:sz w:val="27"/>
          <w:szCs w:val="27"/>
        </w:rPr>
      </w:pP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F79"/>
    <w:rsid w:val="000148BE"/>
    <w:rsid w:val="00842E3D"/>
    <w:rsid w:val="008E2BE6"/>
    <w:rsid w:val="00BB5F79"/>
    <w:rsid w:val="2DB073CB"/>
    <w:rsid w:val="5CE0352A"/>
    <w:rsid w:val="6ED71CA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4"/>
      <w:szCs w:val="24"/>
      <w:lang w:val="en-US" w:eastAsia="en-US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uiPriority w:val="99"/>
    <w:pPr>
      <w:spacing w:before="161"/>
      <w:ind w:left="100"/>
    </w:pPr>
    <w:rPr>
      <w:rFonts w:ascii="仿宋" w:hAnsi="仿宋" w:eastAsia="仿宋" w:cs="仿宋"/>
      <w:sz w:val="24"/>
      <w:szCs w:val="24"/>
      <w:lang w:val="zh-CN" w:eastAsia="zh-CN" w:bidi="zh-CN"/>
    </w:rPr>
  </w:style>
  <w:style w:type="paragraph" w:styleId="3">
    <w:name w:val="footer"/>
    <w:basedOn w:val="1"/>
    <w:link w:val="9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  <w:lang w:eastAsia="zh-CN"/>
    </w:rPr>
  </w:style>
  <w:style w:type="paragraph" w:styleId="4">
    <w:name w:val="header"/>
    <w:basedOn w:val="1"/>
    <w:link w:val="8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eastAsia="zh-CN"/>
    </w:rPr>
  </w:style>
  <w:style w:type="character" w:styleId="6">
    <w:name w:val="page number"/>
    <w:qFormat/>
    <w:uiPriority w:val="0"/>
    <w:rPr>
      <w:lang w:val="zh-TW" w:eastAsia="zh-TW"/>
    </w:r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paragraph" w:customStyle="1" w:styleId="10">
    <w:name w:val="正文 A"/>
    <w:qFormat/>
    <w:uiPriority w:val="0"/>
    <w:pPr>
      <w:widowControl w:val="0"/>
      <w:jc w:val="both"/>
    </w:pPr>
    <w:rPr>
      <w:rFonts w:hint="eastAsia" w:ascii="Arial Unicode MS" w:hAnsi="Arial Unicode MS" w:eastAsia="Arial Unicode MS" w:cs="Arial Unicode MS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175</Characters>
  <Lines>1</Lines>
  <Paragraphs>1</Paragraphs>
  <ScaleCrop>false</ScaleCrop>
  <LinksUpToDate>false</LinksUpToDate>
  <CharactersWithSpaces>204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2018-04-20T02:23:00Z</dcterms:created>
  <dc:creator>信息员6</dc:creator>
  <cp:lastModifiedBy>Administrator</cp:lastModifiedBy>
  <dcterms:modified xsi:type="dcterms:W3CDTF">2019-04-24T09:01:11Z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